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AA99" w14:textId="77777777" w:rsidR="007A6760" w:rsidRDefault="007A6760" w:rsidP="007A6760">
      <w:pPr>
        <w:spacing w:after="160" w:line="256" w:lineRule="auto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Centar za pružanje usluga u zajednici Delnice</w:t>
      </w:r>
    </w:p>
    <w:p w14:paraId="73949E66" w14:textId="77777777" w:rsidR="007A6760" w:rsidRDefault="007A6760" w:rsidP="007A6760">
      <w:pPr>
        <w:spacing w:after="160" w:line="256" w:lineRule="auto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Kuti 6</w:t>
      </w:r>
    </w:p>
    <w:p w14:paraId="278DA1C6" w14:textId="34CF231C" w:rsidR="007A6760" w:rsidRDefault="007A6760" w:rsidP="007A6760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Delnice, </w:t>
      </w:r>
      <w:r w:rsidR="00900673">
        <w:rPr>
          <w:rFonts w:eastAsiaTheme="minorHAnsi"/>
          <w:sz w:val="22"/>
          <w:szCs w:val="22"/>
          <w:lang w:eastAsia="en-US"/>
        </w:rPr>
        <w:t>12</w:t>
      </w:r>
      <w:r w:rsidR="00E843B1">
        <w:rPr>
          <w:rFonts w:eastAsiaTheme="minorHAnsi"/>
          <w:sz w:val="22"/>
          <w:szCs w:val="22"/>
          <w:lang w:eastAsia="en-US"/>
        </w:rPr>
        <w:t>. svibnja 2025.</w:t>
      </w:r>
    </w:p>
    <w:p w14:paraId="7F83E000" w14:textId="7D2762AE" w:rsidR="007A6760" w:rsidRDefault="007A6760" w:rsidP="007A6760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Broj:</w:t>
      </w:r>
      <w:r w:rsidR="00900673">
        <w:rPr>
          <w:rFonts w:eastAsiaTheme="minorHAnsi"/>
          <w:sz w:val="22"/>
          <w:szCs w:val="22"/>
          <w:lang w:eastAsia="en-US"/>
        </w:rPr>
        <w:t xml:space="preserve"> 326/2025, 01-01</w:t>
      </w:r>
    </w:p>
    <w:p w14:paraId="01354D40" w14:textId="77777777" w:rsidR="007A6760" w:rsidRDefault="007A6760" w:rsidP="007A6760">
      <w:pPr>
        <w:rPr>
          <w:lang w:val="en-GB"/>
        </w:rPr>
      </w:pPr>
    </w:p>
    <w:p w14:paraId="5A5CBB3B" w14:textId="1E3563A6" w:rsidR="002A70BE" w:rsidRPr="00900673" w:rsidRDefault="00051424" w:rsidP="00900673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Temeljem odredbe članka 13. Zakona o pravu pristupa na informacije (NN 25/13</w:t>
      </w:r>
      <w:r w:rsidR="00FF6D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85/15</w:t>
      </w:r>
      <w:r w:rsidR="00FF6D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i 69/22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) i članka </w:t>
      </w:r>
      <w:r w:rsidR="00FF6D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42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. Statuta 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Centra za pružanje usluga u zajednici Delnice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ravnateljica dana </w:t>
      </w:r>
      <w:r w:rsidR="0090067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12. svibnja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202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5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. godine donosi</w:t>
      </w:r>
    </w:p>
    <w:p w14:paraId="3EF95397" w14:textId="4D08817F" w:rsidR="00051424" w:rsidRPr="00900673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00673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Odluku o imenovanju službenika za informiranje</w:t>
      </w:r>
    </w:p>
    <w:p w14:paraId="5DECDB67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A193F4B" w14:textId="68697B1D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1.</w:t>
      </w:r>
    </w:p>
    <w:p w14:paraId="38EECB66" w14:textId="6CB27CD4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Temeljem ove Odluke imenuje se službenik za informiranje u 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Centru za pružanje usluga u zajednici Delnice</w:t>
      </w:r>
      <w:r w:rsidR="00E843B1"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kao tijelu javne vlasti. </w:t>
      </w:r>
    </w:p>
    <w:p w14:paraId="129CA4B9" w14:textId="31A4FA54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2.</w:t>
      </w:r>
    </w:p>
    <w:p w14:paraId="7FFE649B" w14:textId="7DB16040" w:rsidR="00E843B1" w:rsidRDefault="00051424" w:rsidP="00E843B1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Službenikom za informiranje imenuje</w:t>
      </w:r>
      <w:r w:rsidRPr="0090067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se</w:t>
      </w:r>
      <w:r w:rsidRPr="00900673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843B1" w:rsidRPr="00900673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Ivona Topić Rački</w:t>
      </w:r>
      <w:r w:rsidR="00E843B1">
        <w:rPr>
          <w:color w:val="000000"/>
        </w:rPr>
        <w:t xml:space="preserve">, mag. </w:t>
      </w:r>
      <w:proofErr w:type="spellStart"/>
      <w:r w:rsidR="00E843B1">
        <w:rPr>
          <w:color w:val="000000"/>
        </w:rPr>
        <w:t>psych</w:t>
      </w:r>
      <w:proofErr w:type="spellEnd"/>
      <w:r w:rsidR="00E843B1">
        <w:rPr>
          <w:color w:val="000000"/>
        </w:rPr>
        <w:t>.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koja je zaposlena na radnom mjestu 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psihologice Centra za pružanje usluga u zajednici Delnice.</w:t>
      </w:r>
    </w:p>
    <w:p w14:paraId="1A674349" w14:textId="5D669002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2E51ED8" w14:textId="77777777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3.</w:t>
      </w:r>
    </w:p>
    <w:p w14:paraId="3FDDF5D9" w14:textId="445CC660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Službenik za informiranje: -</w:t>
      </w:r>
      <w:r w:rsidR="0090067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obavlja poslove redovitog objavljivanja informacija kao i rješavanja pojedinačnih zahtjeva za pristup informacija i ponove uporabe informacija, sukladno unutarnjem ustroju 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Centra</w:t>
      </w:r>
    </w:p>
    <w:p w14:paraId="06F5418E" w14:textId="6D0DA63B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-unapređuje način obrade, razvrstavanja, čuvanja i objavljivanja informacija koje su sadržane u službenim dokumentima koje se odnose na rad tijela 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Centra</w:t>
      </w:r>
    </w:p>
    <w:p w14:paraId="6E17C5AC" w14:textId="412D6E82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-osigurava neophodnu pomoć podnositeljima zahtjeva u vezi s ostvarivanjem prava utvrđenih Zakonom o pravu na pristup informacijama obavlja i druge poslove utvrđene Zakonom o pravu na pristup informacijama i pod zakonskim propisima koji su donijeti na temelju tog Zakona. </w:t>
      </w:r>
    </w:p>
    <w:p w14:paraId="2D85DD1C" w14:textId="09E08D47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4.</w:t>
      </w:r>
    </w:p>
    <w:p w14:paraId="23C4312F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Službenik za informacije može uskratiti pravo na pristup informacija ako je: </w:t>
      </w:r>
    </w:p>
    <w:p w14:paraId="5D65BEA0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-ako je informacija klasificirana stupnjem tajnosti, sukladno zakonu o kojim se uređuje tajnost podataka, </w:t>
      </w:r>
    </w:p>
    <w:p w14:paraId="22F2CB91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-ako je informacija poslovna ili profesionalna tajna, sukladno zakonu,</w:t>
      </w:r>
    </w:p>
    <w:p w14:paraId="3DE6A39A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-ako je informacija zaštićena zakonom kojim se uređuje područje zaštite osobnih podataka,</w:t>
      </w:r>
    </w:p>
    <w:p w14:paraId="502F19F3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-ako je informacija u postupku izrade unutar jednog ili više tijela javne vlasti, a njezino bi objavljivanje prije dovršetka izrade cjelovite i konačne informacije moglo ozbiljno narušiti proces njezine izrade, </w:t>
      </w:r>
    </w:p>
    <w:p w14:paraId="2BF7B729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-ako je informacija nastala u postupku us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u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glašavanja pri donošenju propisa i drugih akata te u razmjeni stavova i mišljenja unutar jednog ili među više tijela, a njezino bi objavljivanje moglo dovesti do pogrešnog tumačenja sadržaja informacije, ugroziti proces donošenja propisa i akata ili slobodu davanja mišljenja i izražavanje stavova, </w:t>
      </w:r>
    </w:p>
    <w:p w14:paraId="310CCD9C" w14:textId="41F7F281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-ako je informacija zaštićena propisima kojima se uređuje prava intelektualnog vlasništva, osim u slučaju izričitog pisanog pristanka nositelja prava, 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i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ako postoje sumnje da bi njezino objavljivanje: </w:t>
      </w:r>
    </w:p>
    <w:p w14:paraId="2162E154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-onemogućilo učinkovitost upravnog ili drugog pravno uređenog postupka, izvršenja sudske odluke ili kazne, </w:t>
      </w:r>
    </w:p>
    <w:p w14:paraId="6919F600" w14:textId="5E23094E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-onemogućilo rad tijela koje vrše nadzor, inspekci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j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ski nadzor, odnosno nadzor zakonitosti. </w:t>
      </w:r>
    </w:p>
    <w:p w14:paraId="11616108" w14:textId="0128DB8B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5.</w:t>
      </w:r>
    </w:p>
    <w:p w14:paraId="67A360AD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Službenik za informiranje poduzima sve radnje i mjere potrebne radi urednog vođenja Kataloga informacija. </w:t>
      </w:r>
    </w:p>
    <w:p w14:paraId="5C5C1F55" w14:textId="177B0DAF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6.</w:t>
      </w:r>
    </w:p>
    <w:p w14:paraId="6B61C8D0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Za vrijeme privremene spriječenosti i službene odsutnosti imenovanog službenika za informiranje, poslove redovitog objavljivanja informacija kao i rješavanja pojedinačnih zahtjeva za pristup informacijama, obavljat će zamjenik službenika za informiranje. </w:t>
      </w:r>
    </w:p>
    <w:p w14:paraId="3FB866F4" w14:textId="66C8B02A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Članak 7.</w:t>
      </w:r>
    </w:p>
    <w:p w14:paraId="14C590CD" w14:textId="3732E391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Zamjenik službenika za informiranje imenuje se</w:t>
      </w:r>
      <w:r w:rsidR="00E843B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Silvana Cindrić, dipl. socijalna radnica</w:t>
      </w:r>
    </w:p>
    <w:p w14:paraId="07C0C886" w14:textId="77777777" w:rsidR="00051424" w:rsidRDefault="00051424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9849981" w14:textId="77777777" w:rsidR="00051424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Članak 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8</w:t>
      </w: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20C16EBC" w14:textId="65AF6C7E" w:rsidR="00EA3D0B" w:rsidRDefault="00051424" w:rsidP="00051424">
      <w:pPr>
        <w:tabs>
          <w:tab w:val="left" w:pos="3660"/>
        </w:tabs>
        <w:spacing w:after="160" w:line="360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142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Odluka stupa na snagu sa danom donošenja</w:t>
      </w:r>
      <w:r w:rsidR="0090067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549F945" w14:textId="77777777" w:rsidR="00051424" w:rsidRDefault="00051424" w:rsidP="00051424">
      <w:pPr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CB0A7FF" w14:textId="77777777" w:rsidR="00900673" w:rsidRDefault="00900673" w:rsidP="00051424">
      <w:pPr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FF2F7F4" w14:textId="0F11196B" w:rsidR="00051424" w:rsidRDefault="00051424" w:rsidP="00051424">
      <w:pPr>
        <w:tabs>
          <w:tab w:val="left" w:pos="7095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Ravnateljica:</w:t>
      </w:r>
    </w:p>
    <w:p w14:paraId="5564FD35" w14:textId="0EC8AB56" w:rsidR="00051424" w:rsidRPr="00051424" w:rsidRDefault="00E843B1" w:rsidP="00051424">
      <w:pPr>
        <w:tabs>
          <w:tab w:val="left" w:pos="7095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051424">
        <w:rPr>
          <w:rFonts w:eastAsiaTheme="minorHAnsi"/>
          <w:sz w:val="22"/>
          <w:szCs w:val="22"/>
          <w:lang w:eastAsia="en-US"/>
        </w:rPr>
        <w:t xml:space="preserve">Dragica Glad Dožaić, </w:t>
      </w:r>
      <w:proofErr w:type="spellStart"/>
      <w:r w:rsidR="00051424">
        <w:rPr>
          <w:rFonts w:eastAsiaTheme="minorHAnsi"/>
          <w:sz w:val="22"/>
          <w:szCs w:val="22"/>
          <w:lang w:eastAsia="en-US"/>
        </w:rPr>
        <w:t>mag.prim.educ</w:t>
      </w:r>
      <w:proofErr w:type="spellEnd"/>
      <w:r w:rsidR="00051424">
        <w:rPr>
          <w:rFonts w:eastAsiaTheme="minorHAnsi"/>
          <w:sz w:val="22"/>
          <w:szCs w:val="22"/>
          <w:lang w:eastAsia="en-US"/>
        </w:rPr>
        <w:t>.</w:t>
      </w:r>
    </w:p>
    <w:sectPr w:rsidR="00051424" w:rsidRPr="00051424" w:rsidSect="000329CC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54C9" w14:textId="77777777" w:rsidR="00F3720A" w:rsidRDefault="00F3720A" w:rsidP="00032DFD">
      <w:r>
        <w:separator/>
      </w:r>
    </w:p>
  </w:endnote>
  <w:endnote w:type="continuationSeparator" w:id="0">
    <w:p w14:paraId="37EE031E" w14:textId="77777777" w:rsidR="00F3720A" w:rsidRDefault="00F3720A" w:rsidP="000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8B3A" w14:textId="77777777" w:rsidR="00F3720A" w:rsidRDefault="00F3720A" w:rsidP="00032DFD">
      <w:r>
        <w:separator/>
      </w:r>
    </w:p>
  </w:footnote>
  <w:footnote w:type="continuationSeparator" w:id="0">
    <w:p w14:paraId="5C6C6D24" w14:textId="77777777" w:rsidR="00F3720A" w:rsidRDefault="00F3720A" w:rsidP="000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973F6"/>
    <w:multiLevelType w:val="hybridMultilevel"/>
    <w:tmpl w:val="F9BC6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36689"/>
    <w:multiLevelType w:val="multilevel"/>
    <w:tmpl w:val="D788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663739">
    <w:abstractNumId w:val="0"/>
  </w:num>
  <w:num w:numId="2" w16cid:durableId="254747343">
    <w:abstractNumId w:val="1"/>
  </w:num>
  <w:num w:numId="3" w16cid:durableId="1329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329CC"/>
    <w:rsid w:val="00032DFD"/>
    <w:rsid w:val="00051424"/>
    <w:rsid w:val="00066041"/>
    <w:rsid w:val="00084E4F"/>
    <w:rsid w:val="000F00AA"/>
    <w:rsid w:val="00112512"/>
    <w:rsid w:val="00116B25"/>
    <w:rsid w:val="00132CE6"/>
    <w:rsid w:val="00181281"/>
    <w:rsid w:val="00192F12"/>
    <w:rsid w:val="001C58D3"/>
    <w:rsid w:val="001D0391"/>
    <w:rsid w:val="001D1AD8"/>
    <w:rsid w:val="001E6EB9"/>
    <w:rsid w:val="002139D0"/>
    <w:rsid w:val="002A70BE"/>
    <w:rsid w:val="002B5F5D"/>
    <w:rsid w:val="002D21B2"/>
    <w:rsid w:val="00322166"/>
    <w:rsid w:val="003369D7"/>
    <w:rsid w:val="00351ACA"/>
    <w:rsid w:val="00396103"/>
    <w:rsid w:val="003C5B01"/>
    <w:rsid w:val="003F71E9"/>
    <w:rsid w:val="00413E74"/>
    <w:rsid w:val="00512659"/>
    <w:rsid w:val="005B3AA8"/>
    <w:rsid w:val="0060025A"/>
    <w:rsid w:val="006147F6"/>
    <w:rsid w:val="006225BC"/>
    <w:rsid w:val="006239F1"/>
    <w:rsid w:val="00645D11"/>
    <w:rsid w:val="00676F72"/>
    <w:rsid w:val="00695FFD"/>
    <w:rsid w:val="006B6478"/>
    <w:rsid w:val="00706BF1"/>
    <w:rsid w:val="00782FA2"/>
    <w:rsid w:val="007A6760"/>
    <w:rsid w:val="007D61AC"/>
    <w:rsid w:val="008D5C63"/>
    <w:rsid w:val="00900673"/>
    <w:rsid w:val="00934F74"/>
    <w:rsid w:val="0099212E"/>
    <w:rsid w:val="009D59B6"/>
    <w:rsid w:val="009F5317"/>
    <w:rsid w:val="00A11384"/>
    <w:rsid w:val="00A27106"/>
    <w:rsid w:val="00A31EFF"/>
    <w:rsid w:val="00A94D5E"/>
    <w:rsid w:val="00AC45D1"/>
    <w:rsid w:val="00B01FFE"/>
    <w:rsid w:val="00B62DC7"/>
    <w:rsid w:val="00B85C3D"/>
    <w:rsid w:val="00BD1A60"/>
    <w:rsid w:val="00C05642"/>
    <w:rsid w:val="00C2093E"/>
    <w:rsid w:val="00C607D1"/>
    <w:rsid w:val="00C902F6"/>
    <w:rsid w:val="00CB6EBC"/>
    <w:rsid w:val="00CC78D9"/>
    <w:rsid w:val="00CD3C04"/>
    <w:rsid w:val="00CD7658"/>
    <w:rsid w:val="00D45AFB"/>
    <w:rsid w:val="00D72B56"/>
    <w:rsid w:val="00D74138"/>
    <w:rsid w:val="00D92665"/>
    <w:rsid w:val="00DB14B0"/>
    <w:rsid w:val="00DC2D53"/>
    <w:rsid w:val="00DC7692"/>
    <w:rsid w:val="00DE660A"/>
    <w:rsid w:val="00E328CE"/>
    <w:rsid w:val="00E5543B"/>
    <w:rsid w:val="00E71A34"/>
    <w:rsid w:val="00E843B1"/>
    <w:rsid w:val="00EA27A3"/>
    <w:rsid w:val="00EA3D0B"/>
    <w:rsid w:val="00ED4A1C"/>
    <w:rsid w:val="00F23A93"/>
    <w:rsid w:val="00F3720A"/>
    <w:rsid w:val="00F70696"/>
    <w:rsid w:val="00F85866"/>
    <w:rsid w:val="00F9330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662F534D-F4EC-4400-B8C5-B6237BF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3</cp:revision>
  <cp:lastPrinted>2025-05-12T12:38:00Z</cp:lastPrinted>
  <dcterms:created xsi:type="dcterms:W3CDTF">2025-05-12T12:39:00Z</dcterms:created>
  <dcterms:modified xsi:type="dcterms:W3CDTF">2025-08-14T11:58:00Z</dcterms:modified>
</cp:coreProperties>
</file>